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1654"/>
        <w:gridCol w:w="11524"/>
      </w:tblGrid>
      <w:tr w:rsidR="00CF6E02" w:rsidRPr="00CF6E02" w:rsidTr="00CF6E02">
        <w:trPr>
          <w:trHeight w:val="300"/>
        </w:trPr>
        <w:tc>
          <w:tcPr>
            <w:tcW w:w="13178" w:type="dxa"/>
            <w:gridSpan w:val="2"/>
            <w:hideMark/>
          </w:tcPr>
          <w:p w:rsidR="00CF6E02" w:rsidRPr="00CF6E02" w:rsidRDefault="00CF6E02">
            <w:pPr>
              <w:rPr>
                <w:b/>
                <w:bCs/>
              </w:rPr>
            </w:pPr>
            <w:r w:rsidRPr="00CF6E02">
              <w:rPr>
                <w:b/>
                <w:bCs/>
              </w:rPr>
              <w:t>DEFINITIONS</w:t>
            </w:r>
            <w:r>
              <w:rPr>
                <w:b/>
                <w:bCs/>
              </w:rPr>
              <w:t xml:space="preserve"> for Section A4</w:t>
            </w:r>
            <w:bookmarkStart w:id="0" w:name="_GoBack"/>
            <w:bookmarkEnd w:id="0"/>
          </w:p>
        </w:tc>
      </w:tr>
      <w:tr w:rsidR="00CF6E02" w:rsidRPr="00CF6E02" w:rsidTr="00CF6E02">
        <w:trPr>
          <w:trHeight w:val="2974"/>
        </w:trPr>
        <w:tc>
          <w:tcPr>
            <w:tcW w:w="1654" w:type="dxa"/>
            <w:hideMark/>
          </w:tcPr>
          <w:p w:rsidR="00CF6E02" w:rsidRPr="00CF6E02" w:rsidRDefault="00CF6E02">
            <w:pPr>
              <w:rPr>
                <w:b/>
                <w:bCs/>
              </w:rPr>
            </w:pPr>
            <w:r w:rsidRPr="00CF6E02">
              <w:rPr>
                <w:b/>
                <w:bCs/>
              </w:rPr>
              <w:t>Direct Investment ($):</w:t>
            </w:r>
          </w:p>
        </w:tc>
        <w:tc>
          <w:tcPr>
            <w:tcW w:w="11524" w:type="dxa"/>
            <w:hideMark/>
          </w:tcPr>
          <w:p w:rsidR="00CF6E02" w:rsidRDefault="00CF6E02">
            <w:r w:rsidRPr="00CF6E02">
              <w:t xml:space="preserve">Includes all total annual investment in agencies, programs, services, and initiatives, based on your audited financial statements. This includes investments made for programs and initiatives delivered by UWC.  </w:t>
            </w:r>
          </w:p>
          <w:p w:rsidR="00CF6E02" w:rsidRPr="00CF6E02" w:rsidRDefault="00CF6E02"/>
          <w:p w:rsidR="00CF6E02" w:rsidRDefault="00CF6E02" w:rsidP="00EF4F83">
            <w:r w:rsidRPr="00CF6E02">
              <w:t>All sources of revenue should be considered investment, excluding designations and transfers to other UWCs. This includes, but is not limited to, the investment of funds raised through an annual campaign, funds stewarded through UWC, funds under management of a UWC, and investment income.</w:t>
            </w:r>
          </w:p>
          <w:p w:rsidR="00CF6E02" w:rsidRPr="00CF6E02" w:rsidRDefault="00CF6E02" w:rsidP="00EF4F83"/>
          <w:p w:rsidR="00CF6E02" w:rsidRPr="00CF6E02" w:rsidRDefault="00CF6E02" w:rsidP="002B1055">
            <w:r w:rsidRPr="00CF6E02">
              <w:t>All UWCs report for their last fiscal period (NOT calendar year).  As fiscal year-end dates vary, please use the</w:t>
            </w:r>
            <w:r w:rsidRPr="00CF6E02">
              <w:rPr>
                <w:b/>
                <w:bCs/>
              </w:rPr>
              <w:t xml:space="preserve"> fiscal year</w:t>
            </w:r>
            <w:r w:rsidRPr="00CF6E02">
              <w:t xml:space="preserve"> as defined by your organization's year-end (i.e. Common fiscal years are dated, but are not limited to, April 1, 2016 to March 31, 2017 or January 1, 2017 to December 31, 2017.)</w:t>
            </w:r>
          </w:p>
        </w:tc>
      </w:tr>
      <w:tr w:rsidR="00CF6E02" w:rsidRPr="00CF6E02" w:rsidTr="00CF6E02">
        <w:trPr>
          <w:trHeight w:val="1056"/>
        </w:trPr>
        <w:tc>
          <w:tcPr>
            <w:tcW w:w="1654" w:type="dxa"/>
            <w:hideMark/>
          </w:tcPr>
          <w:p w:rsidR="00CF6E02" w:rsidRPr="00CF6E02" w:rsidRDefault="00CF6E02">
            <w:pPr>
              <w:rPr>
                <w:b/>
                <w:bCs/>
              </w:rPr>
            </w:pPr>
            <w:r w:rsidRPr="00CF6E02">
              <w:rPr>
                <w:b/>
                <w:bCs/>
              </w:rPr>
              <w:t>Indirect Investment ($):</w:t>
            </w:r>
          </w:p>
        </w:tc>
        <w:tc>
          <w:tcPr>
            <w:tcW w:w="11524" w:type="dxa"/>
            <w:hideMark/>
          </w:tcPr>
          <w:p w:rsidR="00CF6E02" w:rsidRPr="00CF6E02" w:rsidRDefault="00CF6E02">
            <w:r w:rsidRPr="00CF6E02">
              <w:t>Includes all staffing, management and administrative costs a UWC incurs to make and allocate funding in the community. This includes, but is not limited to: community priority setting and engagement, strategy development, volunteer community impact committees, evaluation, reporting on investment to the community, and associated staff time. This does not include costs related to fundraising, marketing, board governance, or financial management of the organization.</w:t>
            </w:r>
          </w:p>
        </w:tc>
      </w:tr>
      <w:tr w:rsidR="00CF6E02" w:rsidRPr="00CF6E02" w:rsidTr="00CF6E02">
        <w:trPr>
          <w:trHeight w:val="528"/>
        </w:trPr>
        <w:tc>
          <w:tcPr>
            <w:tcW w:w="1654" w:type="dxa"/>
            <w:hideMark/>
          </w:tcPr>
          <w:p w:rsidR="00CF6E02" w:rsidRPr="00CF6E02" w:rsidRDefault="00CF6E02">
            <w:pPr>
              <w:rPr>
                <w:b/>
                <w:bCs/>
              </w:rPr>
            </w:pPr>
            <w:r w:rsidRPr="00CF6E02">
              <w:rPr>
                <w:b/>
                <w:bCs/>
              </w:rPr>
              <w:t xml:space="preserve">Total Annual Investment ($): </w:t>
            </w:r>
          </w:p>
        </w:tc>
        <w:tc>
          <w:tcPr>
            <w:tcW w:w="11524" w:type="dxa"/>
            <w:hideMark/>
          </w:tcPr>
          <w:p w:rsidR="00CF6E02" w:rsidRPr="00CF6E02" w:rsidRDefault="00CF6E02">
            <w:r w:rsidRPr="00CF6E02">
              <w:t>The sum of Direct Investment and Indirect Investment.</w:t>
            </w:r>
          </w:p>
        </w:tc>
      </w:tr>
      <w:tr w:rsidR="00CF6E02" w:rsidRPr="00CF6E02" w:rsidTr="00CF6E02">
        <w:trPr>
          <w:trHeight w:val="1056"/>
        </w:trPr>
        <w:tc>
          <w:tcPr>
            <w:tcW w:w="1654" w:type="dxa"/>
            <w:hideMark/>
          </w:tcPr>
          <w:p w:rsidR="00CF6E02" w:rsidRPr="00CF6E02" w:rsidRDefault="00CF6E02">
            <w:pPr>
              <w:rPr>
                <w:b/>
                <w:bCs/>
              </w:rPr>
            </w:pPr>
            <w:r w:rsidRPr="00CF6E02">
              <w:rPr>
                <w:b/>
                <w:bCs/>
              </w:rPr>
              <w:t>Partner Agencies Supported (#):</w:t>
            </w:r>
          </w:p>
        </w:tc>
        <w:tc>
          <w:tcPr>
            <w:tcW w:w="11524" w:type="dxa"/>
            <w:hideMark/>
          </w:tcPr>
          <w:p w:rsidR="00CF6E02" w:rsidRPr="00CF6E02" w:rsidRDefault="00CF6E02">
            <w:r w:rsidRPr="00CF6E02">
              <w:t>Includes all organizations that received any form of financial investment from your UWC (excluding designations).  This can include annual funding, on-going or time limited program or grant funding, or targeted major gifts managed by UWC.  We recognize individual agencies may provide services in more than one Focus Area, and that an individual program may be provided by more than one partner agency.</w:t>
            </w:r>
          </w:p>
        </w:tc>
      </w:tr>
      <w:tr w:rsidR="00CF6E02" w:rsidRPr="00CF6E02" w:rsidTr="00CF6E02">
        <w:trPr>
          <w:trHeight w:val="792"/>
        </w:trPr>
        <w:tc>
          <w:tcPr>
            <w:tcW w:w="1654" w:type="dxa"/>
            <w:hideMark/>
          </w:tcPr>
          <w:p w:rsidR="00CF6E02" w:rsidRPr="00CF6E02" w:rsidRDefault="00CF6E02">
            <w:pPr>
              <w:rPr>
                <w:b/>
                <w:bCs/>
              </w:rPr>
            </w:pPr>
            <w:r w:rsidRPr="00CF6E02">
              <w:rPr>
                <w:b/>
                <w:bCs/>
              </w:rPr>
              <w:t>Total Number of Partner Agencies (#) in a Focus Area:</w:t>
            </w:r>
          </w:p>
        </w:tc>
        <w:tc>
          <w:tcPr>
            <w:tcW w:w="11524" w:type="dxa"/>
            <w:hideMark/>
          </w:tcPr>
          <w:p w:rsidR="00CF6E02" w:rsidRPr="00CF6E02" w:rsidRDefault="00CF6E02">
            <w:r w:rsidRPr="00CF6E02">
              <w:t>Includes all organizations that received any form of financial investment within the identified Focus Area (excluding designations).  This can include annual funding, on-going or time limited program or grant funding, or targeted major gifts managed by UWC.</w:t>
            </w:r>
          </w:p>
        </w:tc>
      </w:tr>
      <w:tr w:rsidR="00CF6E02" w:rsidRPr="00CF6E02" w:rsidTr="00CF6E02">
        <w:trPr>
          <w:trHeight w:val="528"/>
        </w:trPr>
        <w:tc>
          <w:tcPr>
            <w:tcW w:w="1654" w:type="dxa"/>
            <w:hideMark/>
          </w:tcPr>
          <w:p w:rsidR="00CF6E02" w:rsidRPr="00CF6E02" w:rsidRDefault="00CF6E02">
            <w:pPr>
              <w:rPr>
                <w:b/>
                <w:bCs/>
              </w:rPr>
            </w:pPr>
            <w:r w:rsidRPr="00CF6E02">
              <w:rPr>
                <w:b/>
                <w:bCs/>
              </w:rPr>
              <w:t xml:space="preserve">Programs Supported (#): </w:t>
            </w:r>
          </w:p>
        </w:tc>
        <w:tc>
          <w:tcPr>
            <w:tcW w:w="11524" w:type="dxa"/>
            <w:hideMark/>
          </w:tcPr>
          <w:p w:rsidR="00CF6E02" w:rsidRPr="00CF6E02" w:rsidRDefault="00CF6E02">
            <w:r w:rsidRPr="00CF6E02">
              <w:t xml:space="preserve">Includes any programs, projects or initiatives that are known to receive UWC funding (excluding designations). </w:t>
            </w:r>
          </w:p>
        </w:tc>
      </w:tr>
      <w:tr w:rsidR="00CF6E02" w:rsidRPr="00CF6E02" w:rsidTr="00CF6E02">
        <w:trPr>
          <w:trHeight w:val="1056"/>
        </w:trPr>
        <w:tc>
          <w:tcPr>
            <w:tcW w:w="1654" w:type="dxa"/>
            <w:hideMark/>
          </w:tcPr>
          <w:p w:rsidR="00CF6E02" w:rsidRPr="00CF6E02" w:rsidRDefault="00CF6E02">
            <w:pPr>
              <w:rPr>
                <w:b/>
                <w:bCs/>
              </w:rPr>
            </w:pPr>
            <w:r w:rsidRPr="00CF6E02">
              <w:rPr>
                <w:b/>
                <w:bCs/>
              </w:rPr>
              <w:t xml:space="preserve">People Served (#):  </w:t>
            </w:r>
          </w:p>
        </w:tc>
        <w:tc>
          <w:tcPr>
            <w:tcW w:w="11524" w:type="dxa"/>
            <w:hideMark/>
          </w:tcPr>
          <w:p w:rsidR="00CF6E02" w:rsidRPr="00CF6E02" w:rsidRDefault="00CF6E02">
            <w:r w:rsidRPr="00CF6E02">
              <w:t>Includes the number of unique individuals who utilized funded programs, services or agencies. Each unique individual is counted only once, no matter how many times they came to the program during this reporting period (for example: if 1 client visited this program 30 times, they should be counted as 1 unique individual). This information would be provided by the program, service delivery agent, or organization receiving UWC funding.</w:t>
            </w:r>
          </w:p>
        </w:tc>
      </w:tr>
      <w:tr w:rsidR="00CF6E02" w:rsidRPr="00CF6E02" w:rsidTr="00CF6E02">
        <w:trPr>
          <w:trHeight w:val="792"/>
        </w:trPr>
        <w:tc>
          <w:tcPr>
            <w:tcW w:w="1654" w:type="dxa"/>
            <w:hideMark/>
          </w:tcPr>
          <w:p w:rsidR="00CF6E02" w:rsidRPr="00CF6E02" w:rsidRDefault="00CF6E02">
            <w:pPr>
              <w:rPr>
                <w:b/>
                <w:bCs/>
              </w:rPr>
            </w:pPr>
            <w:r w:rsidRPr="00CF6E02">
              <w:rPr>
                <w:b/>
                <w:bCs/>
              </w:rPr>
              <w:lastRenderedPageBreak/>
              <w:t>Community Impact and Investment Volunteers (#):</w:t>
            </w:r>
          </w:p>
        </w:tc>
        <w:tc>
          <w:tcPr>
            <w:tcW w:w="11524" w:type="dxa"/>
            <w:hideMark/>
          </w:tcPr>
          <w:p w:rsidR="00CF6E02" w:rsidRPr="00CF6E02" w:rsidRDefault="00CF6E02">
            <w:r w:rsidRPr="00CF6E02">
              <w:t>Includes the number of volunteers utilized by UWC in community impact and investment processes. This includes, but is not limited to, community impact councils, investment committees, and impact review committees.  Also includes volunteers who aid in the delivery and management of UWC led programs and initiatives, and community engagement.</w:t>
            </w:r>
          </w:p>
        </w:tc>
      </w:tr>
      <w:tr w:rsidR="00CF6E02" w:rsidRPr="00CF6E02" w:rsidTr="00CF6E02">
        <w:trPr>
          <w:trHeight w:val="300"/>
        </w:trPr>
        <w:tc>
          <w:tcPr>
            <w:tcW w:w="13178" w:type="dxa"/>
            <w:gridSpan w:val="2"/>
            <w:noWrap/>
            <w:hideMark/>
          </w:tcPr>
          <w:p w:rsidR="00CF6E02" w:rsidRPr="00CF6E02" w:rsidRDefault="00CF6E02">
            <w:pPr>
              <w:rPr>
                <w:b/>
                <w:bCs/>
              </w:rPr>
            </w:pPr>
            <w:r w:rsidRPr="00CF6E02">
              <w:rPr>
                <w:b/>
                <w:bCs/>
              </w:rPr>
              <w:t>INVESTMENT AREA DEFINITIONS:</w:t>
            </w:r>
          </w:p>
        </w:tc>
      </w:tr>
      <w:tr w:rsidR="00CF6E02" w:rsidRPr="00CF6E02" w:rsidTr="00CF6E02">
        <w:trPr>
          <w:trHeight w:val="288"/>
        </w:trPr>
        <w:tc>
          <w:tcPr>
            <w:tcW w:w="13178" w:type="dxa"/>
            <w:gridSpan w:val="2"/>
            <w:noWrap/>
            <w:hideMark/>
          </w:tcPr>
          <w:p w:rsidR="00CF6E02" w:rsidRPr="00CF6E02" w:rsidRDefault="00CF6E02">
            <w:pPr>
              <w:rPr>
                <w:b/>
                <w:bCs/>
              </w:rPr>
            </w:pPr>
            <w:r w:rsidRPr="00CF6E02">
              <w:rPr>
                <w:b/>
                <w:bCs/>
              </w:rPr>
              <w:t>All That Kids Can Be</w:t>
            </w:r>
          </w:p>
        </w:tc>
      </w:tr>
      <w:tr w:rsidR="00CF6E02" w:rsidRPr="00CF6E02" w:rsidTr="00CF6E02">
        <w:trPr>
          <w:trHeight w:val="1056"/>
        </w:trPr>
        <w:tc>
          <w:tcPr>
            <w:tcW w:w="1654" w:type="dxa"/>
            <w:hideMark/>
          </w:tcPr>
          <w:p w:rsidR="00CF6E02" w:rsidRPr="00CF6E02" w:rsidRDefault="00CF6E02">
            <w:pPr>
              <w:rPr>
                <w:b/>
                <w:bCs/>
              </w:rPr>
            </w:pPr>
            <w:r w:rsidRPr="00CF6E02">
              <w:rPr>
                <w:b/>
                <w:bCs/>
              </w:rPr>
              <w:t>Success in School</w:t>
            </w:r>
          </w:p>
        </w:tc>
        <w:tc>
          <w:tcPr>
            <w:tcW w:w="11524" w:type="dxa"/>
            <w:hideMark/>
          </w:tcPr>
          <w:p w:rsidR="00CF6E02" w:rsidRPr="00CF6E02" w:rsidRDefault="00CF6E02">
            <w:r w:rsidRPr="00CF6E02">
              <w:t>Supports to promote the educational achievement of children and youth, as well as their transition to post-secondary education or employment. Includes, but is not limited to services that support school readiness, homework completion, reading and writing instruction, academic guidance and counselling, alternative educational options such as dropout programs or flexible learning environments, job skills training, and job search training and assistance.</w:t>
            </w:r>
          </w:p>
        </w:tc>
      </w:tr>
      <w:tr w:rsidR="00CF6E02" w:rsidRPr="00CF6E02" w:rsidTr="00CF6E02">
        <w:trPr>
          <w:trHeight w:val="1056"/>
        </w:trPr>
        <w:tc>
          <w:tcPr>
            <w:tcW w:w="1654" w:type="dxa"/>
            <w:hideMark/>
          </w:tcPr>
          <w:p w:rsidR="00CF6E02" w:rsidRPr="00CF6E02" w:rsidRDefault="00CF6E02">
            <w:pPr>
              <w:rPr>
                <w:b/>
                <w:bCs/>
              </w:rPr>
            </w:pPr>
            <w:r w:rsidRPr="00CF6E02">
              <w:rPr>
                <w:b/>
                <w:bCs/>
              </w:rPr>
              <w:t>Community Engagement and Leadership Development</w:t>
            </w:r>
          </w:p>
        </w:tc>
        <w:tc>
          <w:tcPr>
            <w:tcW w:w="11524" w:type="dxa"/>
            <w:hideMark/>
          </w:tcPr>
          <w:p w:rsidR="00CF6E02" w:rsidRPr="00CF6E02" w:rsidRDefault="00CF6E02">
            <w:r w:rsidRPr="00CF6E02">
              <w:t>Supports to provide opportunities for children and youth to develop positive social relationships with adults and peers at home, in school, and in the neighbourhood, as well as to meaningfully participate in and contribute to community.  Includes, but is not limited to, programs that support volunteerism, and those that enable children and youth to participate in a wide range of recreational, cultural, social and civic activities through clubs or youth groups.</w:t>
            </w:r>
          </w:p>
        </w:tc>
      </w:tr>
      <w:tr w:rsidR="00CF6E02" w:rsidRPr="00CF6E02" w:rsidTr="00CF6E02">
        <w:trPr>
          <w:trHeight w:val="792"/>
        </w:trPr>
        <w:tc>
          <w:tcPr>
            <w:tcW w:w="1654" w:type="dxa"/>
            <w:hideMark/>
          </w:tcPr>
          <w:p w:rsidR="00CF6E02" w:rsidRPr="00CF6E02" w:rsidRDefault="00CF6E02">
            <w:pPr>
              <w:rPr>
                <w:b/>
                <w:bCs/>
              </w:rPr>
            </w:pPr>
            <w:r w:rsidRPr="00CF6E02">
              <w:rPr>
                <w:b/>
                <w:bCs/>
              </w:rPr>
              <w:t>Emotional and Physical Wellbeing</w:t>
            </w:r>
          </w:p>
        </w:tc>
        <w:tc>
          <w:tcPr>
            <w:tcW w:w="11524" w:type="dxa"/>
            <w:hideMark/>
          </w:tcPr>
          <w:p w:rsidR="00CF6E02" w:rsidRPr="00CF6E02" w:rsidRDefault="00CF6E02">
            <w:r w:rsidRPr="00CF6E02">
              <w:t>Supports to assist the development of both emotional health (including a positive self-perception, mental health and resiliency) and physical health (including nutrition, health care, and physical activity) and environment (life stress, socioeconomic status, and neighbourhood setting) that allow children to actively engage in day to day activities.</w:t>
            </w:r>
          </w:p>
        </w:tc>
      </w:tr>
      <w:tr w:rsidR="00CF6E02" w:rsidRPr="00CF6E02" w:rsidTr="00CF6E02">
        <w:trPr>
          <w:trHeight w:val="1056"/>
        </w:trPr>
        <w:tc>
          <w:tcPr>
            <w:tcW w:w="1654" w:type="dxa"/>
            <w:hideMark/>
          </w:tcPr>
          <w:p w:rsidR="00CF6E02" w:rsidRPr="00CF6E02" w:rsidRDefault="00CF6E02">
            <w:pPr>
              <w:rPr>
                <w:b/>
                <w:bCs/>
              </w:rPr>
            </w:pPr>
            <w:r w:rsidRPr="00CF6E02">
              <w:rPr>
                <w:b/>
                <w:bCs/>
              </w:rPr>
              <w:t>Community Wide Strategies</w:t>
            </w:r>
          </w:p>
        </w:tc>
        <w:tc>
          <w:tcPr>
            <w:tcW w:w="11524" w:type="dxa"/>
            <w:hideMark/>
          </w:tcPr>
          <w:p w:rsidR="00CF6E02" w:rsidRPr="00CF6E02" w:rsidRDefault="00CF6E02">
            <w:r w:rsidRPr="00CF6E02">
              <w:t>Strategies designed to advance a common, self-contained project or initiative by multiple partners.  These strategies include a community engagement process, overhead costs, and outcome indicators, and often have common funding agreements between partners.  Includes, but is not limited to, projects such as Success by 6, Homelessness Action Plans, Action for Neighbourhood Change, collective impact initiatives, and community coalitions such as Poverty Reduction Roundtables.</w:t>
            </w:r>
          </w:p>
        </w:tc>
      </w:tr>
      <w:tr w:rsidR="00CF6E02" w:rsidRPr="00CF6E02" w:rsidTr="001A71CE">
        <w:trPr>
          <w:trHeight w:val="564"/>
        </w:trPr>
        <w:tc>
          <w:tcPr>
            <w:tcW w:w="13178" w:type="dxa"/>
            <w:gridSpan w:val="2"/>
            <w:hideMark/>
          </w:tcPr>
          <w:p w:rsidR="00CF6E02" w:rsidRPr="00CF6E02" w:rsidRDefault="00CF6E02" w:rsidP="00CF6E02">
            <w:pPr>
              <w:rPr>
                <w:b/>
                <w:bCs/>
              </w:rPr>
            </w:pPr>
            <w:r>
              <w:rPr>
                <w:b/>
                <w:bCs/>
              </w:rPr>
              <w:t>From Poverty to Possibility</w:t>
            </w:r>
          </w:p>
        </w:tc>
      </w:tr>
      <w:tr w:rsidR="00CF6E02" w:rsidRPr="00CF6E02" w:rsidTr="00CF6E02">
        <w:trPr>
          <w:trHeight w:val="792"/>
        </w:trPr>
        <w:tc>
          <w:tcPr>
            <w:tcW w:w="1654" w:type="dxa"/>
            <w:hideMark/>
          </w:tcPr>
          <w:p w:rsidR="00CF6E02" w:rsidRPr="00CF6E02" w:rsidRDefault="00CF6E02">
            <w:pPr>
              <w:rPr>
                <w:b/>
                <w:bCs/>
              </w:rPr>
            </w:pPr>
            <w:r w:rsidRPr="00CF6E02">
              <w:rPr>
                <w:b/>
                <w:bCs/>
              </w:rPr>
              <w:t>Food Security</w:t>
            </w:r>
          </w:p>
        </w:tc>
        <w:tc>
          <w:tcPr>
            <w:tcW w:w="11524" w:type="dxa"/>
            <w:hideMark/>
          </w:tcPr>
          <w:p w:rsidR="00CF6E02" w:rsidRPr="00CF6E02" w:rsidRDefault="00CF6E02">
            <w:r w:rsidRPr="00CF6E02">
              <w:t>Supports to ensure access to food for individuals and families experiencing food insecurity, and supports to build community by growing, cooking and sharing food together. Includes, but is not limited to, emergency food provision, breakfast/snack programs, community gardens, cooking programs, meals on wheels, community meals, food collection programs.</w:t>
            </w:r>
          </w:p>
        </w:tc>
      </w:tr>
      <w:tr w:rsidR="00CF6E02" w:rsidRPr="00CF6E02" w:rsidTr="00CF6E02">
        <w:trPr>
          <w:trHeight w:val="792"/>
        </w:trPr>
        <w:tc>
          <w:tcPr>
            <w:tcW w:w="1654" w:type="dxa"/>
            <w:hideMark/>
          </w:tcPr>
          <w:p w:rsidR="00CF6E02" w:rsidRPr="00CF6E02" w:rsidRDefault="00CF6E02">
            <w:pPr>
              <w:rPr>
                <w:b/>
                <w:bCs/>
              </w:rPr>
            </w:pPr>
            <w:r w:rsidRPr="00CF6E02">
              <w:rPr>
                <w:b/>
                <w:bCs/>
              </w:rPr>
              <w:t>Housing Stability</w:t>
            </w:r>
          </w:p>
        </w:tc>
        <w:tc>
          <w:tcPr>
            <w:tcW w:w="11524" w:type="dxa"/>
            <w:hideMark/>
          </w:tcPr>
          <w:p w:rsidR="00CF6E02" w:rsidRPr="00CF6E02" w:rsidRDefault="00CF6E02">
            <w:r w:rsidRPr="00CF6E02">
              <w:t>Supports to people who are homeless or at risk of homelessness to find and maintain housing, meet basic needs, and promote health and well-being.  Includes, but is not limited to, emergency shelter, transitional housing services, supportive housing programs, outreach programs, affordable housing development and tenant counselling.</w:t>
            </w:r>
          </w:p>
        </w:tc>
      </w:tr>
      <w:tr w:rsidR="00CF6E02" w:rsidRPr="00CF6E02" w:rsidTr="00CF6E02">
        <w:trPr>
          <w:trHeight w:val="792"/>
        </w:trPr>
        <w:tc>
          <w:tcPr>
            <w:tcW w:w="1654" w:type="dxa"/>
            <w:hideMark/>
          </w:tcPr>
          <w:p w:rsidR="00CF6E02" w:rsidRPr="00CF6E02" w:rsidRDefault="00CF6E02">
            <w:pPr>
              <w:rPr>
                <w:b/>
                <w:bCs/>
              </w:rPr>
            </w:pPr>
            <w:r w:rsidRPr="00CF6E02">
              <w:rPr>
                <w:b/>
                <w:bCs/>
              </w:rPr>
              <w:t>Employment</w:t>
            </w:r>
          </w:p>
        </w:tc>
        <w:tc>
          <w:tcPr>
            <w:tcW w:w="11524" w:type="dxa"/>
            <w:hideMark/>
          </w:tcPr>
          <w:p w:rsidR="00CF6E02" w:rsidRPr="00CF6E02" w:rsidRDefault="00CF6E02">
            <w:r w:rsidRPr="00CF6E02">
              <w:t xml:space="preserve">Supports to assist individuals to develop their job skills and to enhance their ability to find and maintain employment. Includes, but is not limited to employment </w:t>
            </w:r>
            <w:proofErr w:type="spellStart"/>
            <w:r w:rsidRPr="00CF6E02">
              <w:t>counseling</w:t>
            </w:r>
            <w:proofErr w:type="spellEnd"/>
            <w:r w:rsidRPr="00CF6E02">
              <w:t>, resume preparation assistance, interview training and other pre-job guidance services, skills upgrading, mentoring, and training and development programs.</w:t>
            </w:r>
          </w:p>
        </w:tc>
      </w:tr>
      <w:tr w:rsidR="00CF6E02" w:rsidRPr="00CF6E02" w:rsidTr="00CF6E02">
        <w:trPr>
          <w:trHeight w:val="1320"/>
        </w:trPr>
        <w:tc>
          <w:tcPr>
            <w:tcW w:w="1654" w:type="dxa"/>
            <w:hideMark/>
          </w:tcPr>
          <w:p w:rsidR="00CF6E02" w:rsidRPr="00CF6E02" w:rsidRDefault="00CF6E02">
            <w:pPr>
              <w:rPr>
                <w:b/>
                <w:bCs/>
              </w:rPr>
            </w:pPr>
            <w:r w:rsidRPr="00CF6E02">
              <w:rPr>
                <w:b/>
                <w:bCs/>
              </w:rPr>
              <w:lastRenderedPageBreak/>
              <w:t>Financial Literacy and Individual Support</w:t>
            </w:r>
          </w:p>
        </w:tc>
        <w:tc>
          <w:tcPr>
            <w:tcW w:w="11524" w:type="dxa"/>
            <w:hideMark/>
          </w:tcPr>
          <w:p w:rsidR="00CF6E02" w:rsidRPr="00CF6E02" w:rsidRDefault="00CF6E02">
            <w:r w:rsidRPr="00CF6E02">
              <w:t xml:space="preserve">Supports to individuals to develop their knowledge and skills to manage their personal financial resources effectively and help them make more informed money management decisions that improve their financial outcomes and build their financial security. Including, but not limited to, banking services information and support, financial assessment tools, financial management workshops, personal financial </w:t>
            </w:r>
            <w:proofErr w:type="spellStart"/>
            <w:r w:rsidRPr="00CF6E02">
              <w:t>counseling</w:t>
            </w:r>
            <w:proofErr w:type="spellEnd"/>
            <w:r w:rsidRPr="00CF6E02">
              <w:t>, tax preparation assistance. May also include defending the economic rights of income security beneficiaries, employment insurance claimants or tenants.</w:t>
            </w:r>
          </w:p>
        </w:tc>
      </w:tr>
      <w:tr w:rsidR="00CF6E02" w:rsidRPr="00CF6E02" w:rsidTr="00CF6E02">
        <w:trPr>
          <w:trHeight w:val="1056"/>
        </w:trPr>
        <w:tc>
          <w:tcPr>
            <w:tcW w:w="1654" w:type="dxa"/>
            <w:hideMark/>
          </w:tcPr>
          <w:p w:rsidR="00CF6E02" w:rsidRPr="00CF6E02" w:rsidRDefault="00CF6E02">
            <w:pPr>
              <w:rPr>
                <w:b/>
                <w:bCs/>
              </w:rPr>
            </w:pPr>
            <w:r w:rsidRPr="00CF6E02">
              <w:rPr>
                <w:b/>
                <w:bCs/>
              </w:rPr>
              <w:t>Community Wide Strategies</w:t>
            </w:r>
          </w:p>
        </w:tc>
        <w:tc>
          <w:tcPr>
            <w:tcW w:w="11524" w:type="dxa"/>
            <w:hideMark/>
          </w:tcPr>
          <w:p w:rsidR="00CF6E02" w:rsidRPr="00CF6E02" w:rsidRDefault="00CF6E02">
            <w:r w:rsidRPr="00CF6E02">
              <w:t>Strategies designed to advance a common, self-contained project or initiative by multiple partners.  These strategies include a community engagement process, overhead costs, and outcome indicators, and often have common funding agreements between partners.  Includes, but is not limited to, projects such as Success by 6, Homelessness Action Plans, Action for Neighbourhood Change, collective impact initiatives, and community coalitions such as Poverty Reduction Roundtables.</w:t>
            </w:r>
          </w:p>
        </w:tc>
      </w:tr>
      <w:tr w:rsidR="00CF6E02" w:rsidRPr="00CF6E02" w:rsidTr="00CF6E02">
        <w:trPr>
          <w:trHeight w:val="288"/>
        </w:trPr>
        <w:tc>
          <w:tcPr>
            <w:tcW w:w="13178" w:type="dxa"/>
            <w:gridSpan w:val="2"/>
            <w:hideMark/>
          </w:tcPr>
          <w:p w:rsidR="00CF6E02" w:rsidRPr="00CF6E02" w:rsidRDefault="00CF6E02">
            <w:pPr>
              <w:rPr>
                <w:b/>
                <w:bCs/>
              </w:rPr>
            </w:pPr>
            <w:r w:rsidRPr="00CF6E02">
              <w:rPr>
                <w:b/>
                <w:bCs/>
              </w:rPr>
              <w:t>Healthy People</w:t>
            </w:r>
          </w:p>
        </w:tc>
      </w:tr>
      <w:tr w:rsidR="00CF6E02" w:rsidRPr="00CF6E02" w:rsidTr="00CF6E02">
        <w:trPr>
          <w:trHeight w:val="792"/>
        </w:trPr>
        <w:tc>
          <w:tcPr>
            <w:tcW w:w="1654" w:type="dxa"/>
            <w:hideMark/>
          </w:tcPr>
          <w:p w:rsidR="00CF6E02" w:rsidRPr="00CF6E02" w:rsidRDefault="00CF6E02">
            <w:pPr>
              <w:rPr>
                <w:b/>
                <w:bCs/>
              </w:rPr>
            </w:pPr>
            <w:r w:rsidRPr="00CF6E02">
              <w:rPr>
                <w:b/>
                <w:bCs/>
              </w:rPr>
              <w:t>Indigenous Peoples</w:t>
            </w:r>
          </w:p>
        </w:tc>
        <w:tc>
          <w:tcPr>
            <w:tcW w:w="11524" w:type="dxa"/>
            <w:hideMark/>
          </w:tcPr>
          <w:p w:rsidR="00CF6E02" w:rsidRPr="00CF6E02" w:rsidRDefault="00CF6E02">
            <w:r w:rsidRPr="00CF6E02">
              <w:t>Supports that provide culturally relevant programs and services for Indigenous individuals and/or families.  Areas of support often include, but are not limited to: culturally-based education, training, employment, leadership, community development, and healing and wellness programs</w:t>
            </w:r>
          </w:p>
        </w:tc>
      </w:tr>
      <w:tr w:rsidR="00CF6E02" w:rsidRPr="00CF6E02" w:rsidTr="00CF6E02">
        <w:trPr>
          <w:trHeight w:val="1056"/>
        </w:trPr>
        <w:tc>
          <w:tcPr>
            <w:tcW w:w="1654" w:type="dxa"/>
            <w:hideMark/>
          </w:tcPr>
          <w:p w:rsidR="00CF6E02" w:rsidRPr="00CF6E02" w:rsidRDefault="00CF6E02">
            <w:pPr>
              <w:rPr>
                <w:b/>
                <w:bCs/>
              </w:rPr>
            </w:pPr>
            <w:r w:rsidRPr="00CF6E02">
              <w:rPr>
                <w:b/>
                <w:bCs/>
              </w:rPr>
              <w:t>People with Disabilities</w:t>
            </w:r>
          </w:p>
        </w:tc>
        <w:tc>
          <w:tcPr>
            <w:tcW w:w="11524" w:type="dxa"/>
            <w:hideMark/>
          </w:tcPr>
          <w:p w:rsidR="00CF6E02" w:rsidRPr="00CF6E02" w:rsidRDefault="00CF6E02">
            <w:r w:rsidRPr="00CF6E02">
              <w:t>Supports to help adults and children with physical or developmental disabilities to live independently and actively participate in their communities, and supports to assist family members and caregivers. Including, but not limited to, mobility training and assistance, escort assistance, independent living supports, respite care, related support groups, education and other resources to help people with disabilities and chronic illnesses to live well.</w:t>
            </w:r>
          </w:p>
        </w:tc>
      </w:tr>
      <w:tr w:rsidR="00CF6E02" w:rsidRPr="00CF6E02" w:rsidTr="00CF6E02">
        <w:trPr>
          <w:trHeight w:val="792"/>
        </w:trPr>
        <w:tc>
          <w:tcPr>
            <w:tcW w:w="1654" w:type="dxa"/>
            <w:hideMark/>
          </w:tcPr>
          <w:p w:rsidR="00CF6E02" w:rsidRPr="00CF6E02" w:rsidRDefault="00CF6E02">
            <w:pPr>
              <w:rPr>
                <w:b/>
                <w:bCs/>
              </w:rPr>
            </w:pPr>
            <w:r w:rsidRPr="00CF6E02">
              <w:rPr>
                <w:b/>
                <w:bCs/>
              </w:rPr>
              <w:t>Seniors</w:t>
            </w:r>
          </w:p>
        </w:tc>
        <w:tc>
          <w:tcPr>
            <w:tcW w:w="11524" w:type="dxa"/>
            <w:hideMark/>
          </w:tcPr>
          <w:p w:rsidR="00CF6E02" w:rsidRPr="00CF6E02" w:rsidRDefault="00CF6E02">
            <w:r w:rsidRPr="00CF6E02">
              <w:t>Supports to promote healthy and active living among seniors and to support seniors to live independently, either in their own homes or in supportive housing. Including, but not limited to, services such as adult day programs, congregate dining, seniors’ centres, and transportation to medical appointments, shopping, banking and other activities, and supports to caregivers.</w:t>
            </w:r>
          </w:p>
        </w:tc>
      </w:tr>
      <w:tr w:rsidR="00CF6E02" w:rsidRPr="00CF6E02" w:rsidTr="00CF6E02">
        <w:trPr>
          <w:trHeight w:val="1056"/>
        </w:trPr>
        <w:tc>
          <w:tcPr>
            <w:tcW w:w="1654" w:type="dxa"/>
            <w:hideMark/>
          </w:tcPr>
          <w:p w:rsidR="00CF6E02" w:rsidRPr="00CF6E02" w:rsidRDefault="00CF6E02">
            <w:pPr>
              <w:rPr>
                <w:b/>
                <w:bCs/>
              </w:rPr>
            </w:pPr>
            <w:r w:rsidRPr="00CF6E02">
              <w:rPr>
                <w:b/>
                <w:bCs/>
              </w:rPr>
              <w:t xml:space="preserve">Newcomer Settlement and Integration </w:t>
            </w:r>
          </w:p>
        </w:tc>
        <w:tc>
          <w:tcPr>
            <w:tcW w:w="11524" w:type="dxa"/>
            <w:hideMark/>
          </w:tcPr>
          <w:p w:rsidR="00CF6E02" w:rsidRPr="00CF6E02" w:rsidRDefault="00CF6E02">
            <w:r w:rsidRPr="00CF6E02">
              <w:t xml:space="preserve">Supports to assist newcomers to settle and integrate by meeting immediate needs and providing longer term assistance, and supports to help communities of newcomer engage by building capacity, leadership and voice. Services to meet immediate needs include, but are not limited to, settlement and orientation </w:t>
            </w:r>
            <w:proofErr w:type="spellStart"/>
            <w:r w:rsidRPr="00CF6E02">
              <w:t>counseling</w:t>
            </w:r>
            <w:proofErr w:type="spellEnd"/>
            <w:r w:rsidRPr="00CF6E02">
              <w:t>, information and referral to services, translation and interpretation.</w:t>
            </w:r>
          </w:p>
        </w:tc>
      </w:tr>
      <w:tr w:rsidR="00CF6E02" w:rsidRPr="00CF6E02" w:rsidTr="00CF6E02">
        <w:trPr>
          <w:trHeight w:val="792"/>
        </w:trPr>
        <w:tc>
          <w:tcPr>
            <w:tcW w:w="1654" w:type="dxa"/>
            <w:hideMark/>
          </w:tcPr>
          <w:p w:rsidR="00CF6E02" w:rsidRPr="00CF6E02" w:rsidRDefault="00CF6E02">
            <w:pPr>
              <w:rPr>
                <w:b/>
                <w:bCs/>
              </w:rPr>
            </w:pPr>
            <w:r w:rsidRPr="00CF6E02">
              <w:rPr>
                <w:b/>
                <w:bCs/>
              </w:rPr>
              <w:t>Community Mental Health &amp; Wellbeing</w:t>
            </w:r>
          </w:p>
        </w:tc>
        <w:tc>
          <w:tcPr>
            <w:tcW w:w="11524" w:type="dxa"/>
            <w:hideMark/>
          </w:tcPr>
          <w:p w:rsidR="00CF6E02" w:rsidRPr="00CF6E02" w:rsidRDefault="00CF6E02">
            <w:r w:rsidRPr="00CF6E02">
              <w:t>Supports to promote mental health and well-being, increase public awareness, reduce stigma, and provide community-based mental health programs. Including, but not limited to, preventive services, crisis support services, addiction services and self-help resources. Also includes support for those living with chronic illnesses.</w:t>
            </w:r>
          </w:p>
        </w:tc>
      </w:tr>
      <w:tr w:rsidR="00CF6E02" w:rsidRPr="00CF6E02" w:rsidTr="00CF6E02">
        <w:trPr>
          <w:trHeight w:val="1056"/>
        </w:trPr>
        <w:tc>
          <w:tcPr>
            <w:tcW w:w="1654" w:type="dxa"/>
            <w:hideMark/>
          </w:tcPr>
          <w:p w:rsidR="00CF6E02" w:rsidRPr="00CF6E02" w:rsidRDefault="00CF6E02">
            <w:pPr>
              <w:rPr>
                <w:b/>
                <w:bCs/>
              </w:rPr>
            </w:pPr>
            <w:r w:rsidRPr="00CF6E02">
              <w:rPr>
                <w:b/>
                <w:bCs/>
              </w:rPr>
              <w:t>Sexual and/or Domestic Violence</w:t>
            </w:r>
          </w:p>
        </w:tc>
        <w:tc>
          <w:tcPr>
            <w:tcW w:w="11524" w:type="dxa"/>
            <w:hideMark/>
          </w:tcPr>
          <w:p w:rsidR="00CF6E02" w:rsidRPr="00CF6E02" w:rsidRDefault="00CF6E02">
            <w:r w:rsidRPr="00CF6E02">
              <w:t xml:space="preserve">Supports to assist men, women and children who have experienced sexual assault and/or abuse, as well as those who have experienced physical, sexual and/or emotional abuse in domestic relationships. Including, but not limited to, crisis intervention, emergency shelters, </w:t>
            </w:r>
            <w:proofErr w:type="spellStart"/>
            <w:r w:rsidRPr="00CF6E02">
              <w:t>counseling</w:t>
            </w:r>
            <w:proofErr w:type="spellEnd"/>
            <w:r w:rsidRPr="00CF6E02">
              <w:t xml:space="preserve"> and transitional services, parenting supports, and legal support, as well as advocacy, preventative work and public education.</w:t>
            </w:r>
          </w:p>
        </w:tc>
      </w:tr>
      <w:tr w:rsidR="00CF6E02" w:rsidRPr="00CF6E02" w:rsidTr="00CF6E02">
        <w:trPr>
          <w:trHeight w:val="1056"/>
        </w:trPr>
        <w:tc>
          <w:tcPr>
            <w:tcW w:w="1654" w:type="dxa"/>
            <w:hideMark/>
          </w:tcPr>
          <w:p w:rsidR="00CF6E02" w:rsidRPr="00CF6E02" w:rsidRDefault="00CF6E02">
            <w:pPr>
              <w:rPr>
                <w:b/>
                <w:bCs/>
              </w:rPr>
            </w:pPr>
            <w:r w:rsidRPr="00CF6E02">
              <w:rPr>
                <w:b/>
                <w:bCs/>
              </w:rPr>
              <w:lastRenderedPageBreak/>
              <w:t>Community Wide Strategies</w:t>
            </w:r>
          </w:p>
        </w:tc>
        <w:tc>
          <w:tcPr>
            <w:tcW w:w="11524" w:type="dxa"/>
            <w:hideMark/>
          </w:tcPr>
          <w:p w:rsidR="00CF6E02" w:rsidRPr="00CF6E02" w:rsidRDefault="00CF6E02">
            <w:r w:rsidRPr="00CF6E02">
              <w:t>Strategies designed to advance a common, self-contained project or initiative by multiple partners. These strategies include a community engagement process, overhead costs, and outcome indicators, and often have common funding agreements between partners. Includes, but is not limited to, projects such as Success by 6, Homelessness Action Plans, Action for Neighbourhood Change, collective impact initiatives, and community coalitions such as Poverty Reduction Roundtables.</w:t>
            </w:r>
          </w:p>
        </w:tc>
      </w:tr>
      <w:tr w:rsidR="00CF6E02" w:rsidRPr="00CF6E02" w:rsidTr="00CF6E02">
        <w:trPr>
          <w:trHeight w:val="288"/>
        </w:trPr>
        <w:tc>
          <w:tcPr>
            <w:tcW w:w="13178" w:type="dxa"/>
            <w:gridSpan w:val="2"/>
            <w:hideMark/>
          </w:tcPr>
          <w:p w:rsidR="00CF6E02" w:rsidRPr="00CF6E02" w:rsidRDefault="00CF6E02">
            <w:pPr>
              <w:rPr>
                <w:b/>
                <w:bCs/>
              </w:rPr>
            </w:pPr>
            <w:r w:rsidRPr="00CF6E02">
              <w:rPr>
                <w:b/>
                <w:bCs/>
              </w:rPr>
              <w:t>Strong Communities</w:t>
            </w:r>
          </w:p>
        </w:tc>
      </w:tr>
      <w:tr w:rsidR="00CF6E02" w:rsidRPr="00CF6E02" w:rsidTr="00CF6E02">
        <w:trPr>
          <w:trHeight w:val="1320"/>
        </w:trPr>
        <w:tc>
          <w:tcPr>
            <w:tcW w:w="1654" w:type="dxa"/>
            <w:hideMark/>
          </w:tcPr>
          <w:p w:rsidR="00CF6E02" w:rsidRPr="00CF6E02" w:rsidRDefault="00CF6E02">
            <w:pPr>
              <w:rPr>
                <w:b/>
                <w:bCs/>
              </w:rPr>
            </w:pPr>
            <w:r w:rsidRPr="00CF6E02">
              <w:rPr>
                <w:b/>
                <w:bCs/>
              </w:rPr>
              <w:t>Neighbourhood Development and Engagement</w:t>
            </w:r>
          </w:p>
        </w:tc>
        <w:tc>
          <w:tcPr>
            <w:tcW w:w="11524" w:type="dxa"/>
            <w:hideMark/>
          </w:tcPr>
          <w:p w:rsidR="00CF6E02" w:rsidRPr="00CF6E02" w:rsidRDefault="00CF6E02">
            <w:r w:rsidRPr="00CF6E02">
              <w:t>Supports to strengthen communities and neighbourhoods by engaging residents, community stakeholders, community organizations, funders, government and academic partners to: improve the quality of neighbourhood life, and foster community cohesion; build and maintain an adequate network of neighbourhood infrastructure, social services and community programs; engage in policy and research activities to understand and support communities and neighbourhoods; and increase public awareness of the importance of strong neighbourhoods for a strong and vibrant city.</w:t>
            </w:r>
          </w:p>
        </w:tc>
      </w:tr>
      <w:tr w:rsidR="00CF6E02" w:rsidRPr="00CF6E02" w:rsidTr="00CF6E02">
        <w:trPr>
          <w:trHeight w:val="1056"/>
        </w:trPr>
        <w:tc>
          <w:tcPr>
            <w:tcW w:w="1654" w:type="dxa"/>
            <w:hideMark/>
          </w:tcPr>
          <w:p w:rsidR="00CF6E02" w:rsidRPr="00CF6E02" w:rsidRDefault="00CF6E02">
            <w:pPr>
              <w:rPr>
                <w:b/>
                <w:bCs/>
              </w:rPr>
            </w:pPr>
            <w:r w:rsidRPr="00CF6E02">
              <w:rPr>
                <w:b/>
                <w:bCs/>
              </w:rPr>
              <w:t>Organizational Capacity Building and Leadership Development</w:t>
            </w:r>
          </w:p>
        </w:tc>
        <w:tc>
          <w:tcPr>
            <w:tcW w:w="11524" w:type="dxa"/>
            <w:hideMark/>
          </w:tcPr>
          <w:p w:rsidR="00CF6E02" w:rsidRPr="00CF6E02" w:rsidRDefault="00CF6E02">
            <w:r w:rsidRPr="00CF6E02">
              <w:t>Supports that help leaders and organizations develop their skills through individual and organizational training and skills development. Including, but not limited to, governance training, strategic planning, program planning, outcomes measurement, evaluation, and volunteer management.</w:t>
            </w:r>
          </w:p>
        </w:tc>
      </w:tr>
      <w:tr w:rsidR="00CF6E02" w:rsidRPr="00CF6E02" w:rsidTr="00CF6E02">
        <w:trPr>
          <w:trHeight w:val="792"/>
        </w:trPr>
        <w:tc>
          <w:tcPr>
            <w:tcW w:w="1654" w:type="dxa"/>
            <w:hideMark/>
          </w:tcPr>
          <w:p w:rsidR="00CF6E02" w:rsidRPr="00CF6E02" w:rsidRDefault="00CF6E02">
            <w:pPr>
              <w:rPr>
                <w:b/>
                <w:bCs/>
              </w:rPr>
            </w:pPr>
            <w:r w:rsidRPr="00CF6E02">
              <w:rPr>
                <w:b/>
                <w:bCs/>
              </w:rPr>
              <w:t>Volunteer Engagement and Mobilization</w:t>
            </w:r>
          </w:p>
        </w:tc>
        <w:tc>
          <w:tcPr>
            <w:tcW w:w="11524" w:type="dxa"/>
            <w:hideMark/>
          </w:tcPr>
          <w:p w:rsidR="00CF6E02" w:rsidRPr="00CF6E02" w:rsidRDefault="00CF6E02">
            <w:r w:rsidRPr="00CF6E02">
              <w:t>Supports that assist in the recruitment, placement, training, recognition and retention of volunteers at an agency and/or sector level. This includes, but is not limited to, volunteer opportunity databases, volunteer centres, and local volunteerism awards. This does not include volunteer initiatives that are by a specific program for which an organization receives funding.</w:t>
            </w:r>
          </w:p>
        </w:tc>
      </w:tr>
      <w:tr w:rsidR="00CF6E02" w:rsidRPr="00CF6E02" w:rsidTr="00CF6E02">
        <w:trPr>
          <w:trHeight w:val="528"/>
        </w:trPr>
        <w:tc>
          <w:tcPr>
            <w:tcW w:w="1654" w:type="dxa"/>
            <w:hideMark/>
          </w:tcPr>
          <w:p w:rsidR="00CF6E02" w:rsidRPr="00CF6E02" w:rsidRDefault="00CF6E02">
            <w:pPr>
              <w:rPr>
                <w:b/>
                <w:bCs/>
              </w:rPr>
            </w:pPr>
            <w:r w:rsidRPr="00CF6E02">
              <w:rPr>
                <w:b/>
                <w:bCs/>
              </w:rPr>
              <w:t>211</w:t>
            </w:r>
          </w:p>
        </w:tc>
        <w:tc>
          <w:tcPr>
            <w:tcW w:w="11524" w:type="dxa"/>
            <w:hideMark/>
          </w:tcPr>
          <w:p w:rsidR="00CF6E02" w:rsidRPr="00CF6E02" w:rsidRDefault="00CF6E02">
            <w:r w:rsidRPr="00CF6E02">
              <w:t>Financial and non-financial investments made in the support and promotion of 211 phone and web services to enable community members’ to have access to community, social, non-clinical health and related government services.</w:t>
            </w:r>
          </w:p>
        </w:tc>
      </w:tr>
      <w:tr w:rsidR="00CF6E02" w:rsidRPr="00CF6E02" w:rsidTr="00CF6E02">
        <w:trPr>
          <w:trHeight w:val="1056"/>
        </w:trPr>
        <w:tc>
          <w:tcPr>
            <w:tcW w:w="1654" w:type="dxa"/>
            <w:hideMark/>
          </w:tcPr>
          <w:p w:rsidR="00CF6E02" w:rsidRPr="00CF6E02" w:rsidRDefault="00CF6E02">
            <w:pPr>
              <w:rPr>
                <w:b/>
                <w:bCs/>
              </w:rPr>
            </w:pPr>
            <w:r w:rsidRPr="00CF6E02">
              <w:rPr>
                <w:b/>
                <w:bCs/>
              </w:rPr>
              <w:t>Community Wide Strategies</w:t>
            </w:r>
          </w:p>
        </w:tc>
        <w:tc>
          <w:tcPr>
            <w:tcW w:w="11524" w:type="dxa"/>
            <w:hideMark/>
          </w:tcPr>
          <w:p w:rsidR="00CF6E02" w:rsidRPr="00CF6E02" w:rsidRDefault="00CF6E02">
            <w:r w:rsidRPr="00CF6E02">
              <w:t>Strategies designed to advance a common, self-contained project or initiative by multiple partners.  These strategies include a community engagement process, overhead costs, and outcome indicators, and often have common funding agreements between partners.  Includes, but is not limited to, projects such as Success by 6, Homelessness Action Plans, Action for Neighbourhood Change, collective impact initiatives, and community coalitions such as Poverty Reduction Roundtables.</w:t>
            </w:r>
          </w:p>
        </w:tc>
      </w:tr>
    </w:tbl>
    <w:p w:rsidR="00145845" w:rsidRDefault="00145845"/>
    <w:sectPr w:rsidR="00145845" w:rsidSect="00CF6E02">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E02"/>
    <w:rsid w:val="00145845"/>
    <w:rsid w:val="00CF6E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50991E-CA1C-4F52-9304-7CC5D67D9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F6E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8651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1843</Words>
  <Characters>10508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Allyssa</dc:creator>
  <cp:keywords/>
  <dc:description/>
  <cp:lastModifiedBy>Allyssa</cp:lastModifiedBy>
  <cp:revision>1</cp:revision>
  <dcterms:created xsi:type="dcterms:W3CDTF">2018-12-14T14:59:00Z</dcterms:created>
  <dcterms:modified xsi:type="dcterms:W3CDTF">2018-12-14T15:03:00Z</dcterms:modified>
</cp:coreProperties>
</file>